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81B5E" w:rsidTr="00F81B5E">
        <w:trPr>
          <w:tblCellSpacing w:w="0" w:type="dxa"/>
          <w:jc w:val="center"/>
        </w:trPr>
        <w:tc>
          <w:tcPr>
            <w:tcW w:w="0" w:type="auto"/>
            <w:tcMar>
              <w:top w:w="225" w:type="dxa"/>
              <w:left w:w="75" w:type="dxa"/>
              <w:bottom w:w="225" w:type="dxa"/>
              <w:right w:w="75" w:type="dxa"/>
            </w:tcMar>
          </w:tcPr>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F81B5E">
              <w:trPr>
                <w:tblCellSpacing w:w="0" w:type="dxa"/>
                <w:jc w:val="center"/>
              </w:trPr>
              <w:tc>
                <w:tcPr>
                  <w:tcW w:w="5000" w:type="pct"/>
                  <w:tcMar>
                    <w:top w:w="0" w:type="dxa"/>
                    <w:left w:w="0" w:type="dxa"/>
                    <w:bottom w:w="120" w:type="dxa"/>
                    <w:right w:w="0" w:type="dxa"/>
                  </w:tcMar>
                </w:tcPr>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F81B5E">
                    <w:trPr>
                      <w:tblCellSpacing w:w="0" w:type="dxa"/>
                      <w:jc w:val="center"/>
                    </w:trPr>
                    <w:tc>
                      <w:tcPr>
                        <w:tcW w:w="0" w:type="auto"/>
                        <w:tcMar>
                          <w:top w:w="120" w:type="dxa"/>
                          <w:left w:w="0" w:type="dxa"/>
                          <w:bottom w:w="135" w:type="dxa"/>
                          <w:right w:w="0" w:type="dxa"/>
                        </w:tcMar>
                      </w:tcPr>
                      <w:tbl>
                        <w:tblPr>
                          <w:tblW w:w="4380" w:type="dxa"/>
                          <w:jc w:val="center"/>
                          <w:tblCellSpacing w:w="0" w:type="dxa"/>
                          <w:tblCellMar>
                            <w:left w:w="0" w:type="dxa"/>
                            <w:right w:w="0" w:type="dxa"/>
                          </w:tblCellMar>
                          <w:tblLook w:val="04A0" w:firstRow="1" w:lastRow="0" w:firstColumn="1" w:lastColumn="0" w:noHBand="0" w:noVBand="1"/>
                        </w:tblPr>
                        <w:tblGrid>
                          <w:gridCol w:w="5472"/>
                        </w:tblGrid>
                        <w:tr w:rsidR="00F81B5E">
                          <w:trPr>
                            <w:tblCellSpacing w:w="0" w:type="dxa"/>
                            <w:jc w:val="center"/>
                          </w:trPr>
                          <w:tc>
                            <w:tcPr>
                              <w:tcW w:w="5000" w:type="pct"/>
                              <w:vAlign w:val="center"/>
                              <w:hideMark/>
                            </w:tcPr>
                            <w:p w:rsidR="00F81B5E" w:rsidRDefault="00F81B5E">
                              <w:pPr>
                                <w:jc w:val="center"/>
                                <w:rPr>
                                  <w:rFonts w:eastAsia="Times New Roman"/>
                                </w:rPr>
                              </w:pPr>
                              <w:r>
                                <w:rPr>
                                  <w:rFonts w:eastAsia="Times New Roman"/>
                                  <w:noProof/>
                                </w:rPr>
                                <w:drawing>
                                  <wp:inline distT="0" distB="0" distL="0" distR="0">
                                    <wp:extent cx="3474720" cy="685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685800"/>
                                            </a:xfrm>
                                            <a:prstGeom prst="rect">
                                              <a:avLst/>
                                            </a:prstGeom>
                                            <a:noFill/>
                                            <a:ln>
                                              <a:noFill/>
                                            </a:ln>
                                          </pic:spPr>
                                        </pic:pic>
                                      </a:graphicData>
                                    </a:graphic>
                                  </wp:inline>
                                </w:drawing>
                              </w:r>
                            </w:p>
                          </w:tc>
                        </w:tr>
                      </w:tbl>
                      <w:p w:rsidR="00F81B5E" w:rsidRDefault="00F81B5E">
                        <w:pPr>
                          <w:jc w:val="center"/>
                          <w:rPr>
                            <w:rFonts w:eastAsia="Times New Roman"/>
                            <w:vanish/>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F81B5E">
                          <w:trPr>
                            <w:tblCellSpacing w:w="0" w:type="dxa"/>
                            <w:jc w:val="center"/>
                          </w:trPr>
                          <w:tc>
                            <w:tcPr>
                              <w:tcW w:w="5000" w:type="pct"/>
                              <w:hideMark/>
                            </w:tcPr>
                            <w:p w:rsidR="00F81B5E" w:rsidRDefault="00F81B5E">
                              <w:pPr>
                                <w:jc w:val="center"/>
                                <w:rPr>
                                  <w:rFonts w:eastAsia="Times New Roman"/>
                                </w:rPr>
                              </w:pPr>
                              <w:hyperlink r:id="rId7" w:tgtFrame="_blank" w:history="1">
                                <w:r>
                                  <w:rPr>
                                    <w:rStyle w:val="Hyperlink"/>
                                    <w:rFonts w:eastAsia="Times New Roman"/>
                                    <w:color w:val="0078C1"/>
                                  </w:rPr>
                                  <w:t> </w:t>
                                </w:r>
                              </w:hyperlink>
                            </w:p>
                          </w:tc>
                        </w:tr>
                      </w:tbl>
                      <w:p w:rsidR="00F81B5E" w:rsidRDefault="00F81B5E">
                        <w:pPr>
                          <w:jc w:val="center"/>
                          <w:rPr>
                            <w:rFonts w:eastAsia="Times New Roman"/>
                            <w:sz w:val="20"/>
                            <w:szCs w:val="20"/>
                          </w:rPr>
                        </w:pPr>
                      </w:p>
                    </w:tc>
                  </w:tr>
                </w:tbl>
                <w:p w:rsidR="00F81B5E" w:rsidRDefault="00F81B5E">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F81B5E">
                    <w:trPr>
                      <w:tblCellSpacing w:w="0" w:type="dxa"/>
                      <w:jc w:val="center"/>
                    </w:trPr>
                    <w:tc>
                      <w:tcPr>
                        <w:tcW w:w="0" w:type="auto"/>
                        <w:shd w:val="clear" w:color="auto" w:fill="FFFFFF"/>
                        <w:tcMar>
                          <w:top w:w="120" w:type="dxa"/>
                          <w:left w:w="0" w:type="dxa"/>
                          <w:bottom w:w="135" w:type="dxa"/>
                          <w:right w:w="0" w:type="dxa"/>
                        </w:tcMar>
                        <w:hideMark/>
                      </w:tcPr>
                      <w:p w:rsidR="00F81B5E" w:rsidRDefault="00F81B5E">
                        <w:pPr>
                          <w:jc w:val="center"/>
                          <w:rPr>
                            <w:rFonts w:eastAsia="Times New Roman"/>
                            <w:color w:val="4D4D4D"/>
                            <w:sz w:val="18"/>
                            <w:szCs w:val="18"/>
                          </w:rPr>
                        </w:pPr>
                        <w:r>
                          <w:rPr>
                            <w:rStyle w:val="Strong"/>
                            <w:rFonts w:eastAsia="Times New Roman"/>
                            <w:color w:val="4D4D4D"/>
                            <w:sz w:val="28"/>
                            <w:szCs w:val="28"/>
                          </w:rPr>
                          <w:t xml:space="preserve">BENCHMARK TITLE AGENCY </w:t>
                        </w:r>
                      </w:p>
                      <w:p w:rsidR="00F81B5E" w:rsidRDefault="00F81B5E">
                        <w:pPr>
                          <w:jc w:val="center"/>
                          <w:rPr>
                            <w:rFonts w:eastAsia="Times New Roman"/>
                            <w:color w:val="4D4D4D"/>
                            <w:sz w:val="18"/>
                            <w:szCs w:val="18"/>
                          </w:rPr>
                        </w:pPr>
                        <w:r>
                          <w:rPr>
                            <w:rStyle w:val="Strong"/>
                            <w:rFonts w:eastAsia="Times New Roman"/>
                            <w:color w:val="4D4D4D"/>
                            <w:sz w:val="28"/>
                            <w:szCs w:val="28"/>
                          </w:rPr>
                          <w:t>RECEIVES WOMEN-OWNED BUSINESS ENTERPRISE DESIGNATION FROM NEW YORK STATE</w:t>
                        </w:r>
                      </w:p>
                    </w:tc>
                  </w:tr>
                </w:tbl>
                <w:p w:rsidR="00F81B5E" w:rsidRDefault="00F81B5E">
                  <w:pPr>
                    <w:jc w:val="center"/>
                    <w:rPr>
                      <w:rFonts w:eastAsia="Times New Roman"/>
                      <w:sz w:val="20"/>
                      <w:szCs w:val="20"/>
                    </w:rPr>
                  </w:pPr>
                </w:p>
              </w:tc>
            </w:tr>
          </w:tbl>
          <w:p w:rsidR="00F81B5E" w:rsidRDefault="00F81B5E">
            <w:pPr>
              <w:jc w:val="center"/>
              <w:rPr>
                <w:rFonts w:eastAsia="Times New Roman"/>
                <w:vanish/>
              </w:rPr>
            </w:pPr>
          </w:p>
          <w:tbl>
            <w:tblPr>
              <w:tblW w:w="5000" w:type="pct"/>
              <w:jc w:val="center"/>
              <w:tblCellSpacing w:w="0" w:type="dxa"/>
              <w:shd w:val="clear" w:color="auto" w:fill="000000"/>
              <w:tblCellMar>
                <w:left w:w="0" w:type="dxa"/>
                <w:right w:w="0" w:type="dxa"/>
              </w:tblCellMar>
              <w:tblLook w:val="04A0" w:firstRow="1" w:lastRow="0" w:firstColumn="1" w:lastColumn="0" w:noHBand="0" w:noVBand="1"/>
            </w:tblPr>
            <w:tblGrid>
              <w:gridCol w:w="9210"/>
            </w:tblGrid>
            <w:tr w:rsidR="00F81B5E">
              <w:trPr>
                <w:tblCellSpacing w:w="0" w:type="dxa"/>
                <w:jc w:val="center"/>
                <w:hidden/>
              </w:trPr>
              <w:tc>
                <w:tcPr>
                  <w:tcW w:w="5000" w:type="pct"/>
                  <w:shd w:val="clear" w:color="auto" w:fill="000000"/>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180"/>
                  </w:tblGrid>
                  <w:tr w:rsidR="00F81B5E">
                    <w:trPr>
                      <w:tblCellSpacing w:w="0" w:type="dxa"/>
                      <w:jc w:val="center"/>
                      <w:hidden/>
                    </w:trPr>
                    <w:tc>
                      <w:tcPr>
                        <w:tcW w:w="5000" w:type="pct"/>
                        <w:shd w:val="clear" w:color="auto" w:fill="FFFFFF"/>
                        <w:tcMar>
                          <w:top w:w="120" w:type="dxa"/>
                          <w:left w:w="0" w:type="dxa"/>
                          <w:bottom w:w="225" w:type="dxa"/>
                          <w:right w:w="0" w:type="dxa"/>
                        </w:tcMar>
                      </w:tcPr>
                      <w:tbl>
                        <w:tblPr>
                          <w:tblW w:w="5000" w:type="pct"/>
                          <w:jc w:val="center"/>
                          <w:tblCellSpacing w:w="0" w:type="dxa"/>
                          <w:tblCellMar>
                            <w:left w:w="0" w:type="dxa"/>
                            <w:right w:w="0" w:type="dxa"/>
                          </w:tblCellMar>
                          <w:tblLook w:val="04A0" w:firstRow="1" w:lastRow="0" w:firstColumn="1" w:lastColumn="0" w:noHBand="0" w:noVBand="1"/>
                        </w:tblPr>
                        <w:tblGrid>
                          <w:gridCol w:w="9180"/>
                        </w:tblGrid>
                        <w:tr w:rsidR="00F81B5E">
                          <w:trPr>
                            <w:tblCellSpacing w:w="0" w:type="dxa"/>
                            <w:jc w:val="center"/>
                            <w:hidden/>
                          </w:trPr>
                          <w:tc>
                            <w:tcPr>
                              <w:tcW w:w="0" w:type="auto"/>
                              <w:tcMar>
                                <w:top w:w="120"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180"/>
                              </w:tblGrid>
                              <w:tr w:rsidR="00F81B5E">
                                <w:trPr>
                                  <w:tblCellSpacing w:w="0" w:type="dxa"/>
                                  <w:jc w:val="center"/>
                                  <w:hidden/>
                                </w:trPr>
                                <w:tc>
                                  <w:tcPr>
                                    <w:tcW w:w="5000" w:type="pct"/>
                                    <w:hideMark/>
                                  </w:tcPr>
                                  <w:p w:rsidR="00F81B5E" w:rsidRDefault="00F81B5E">
                                    <w:pPr>
                                      <w:rPr>
                                        <w:rFonts w:eastAsia="Times New Roman"/>
                                        <w:vanish/>
                                      </w:rPr>
                                    </w:pPr>
                                  </w:p>
                                </w:tc>
                              </w:tr>
                            </w:tbl>
                            <w:p w:rsidR="00F81B5E" w:rsidRDefault="00F81B5E">
                              <w:pPr>
                                <w:jc w:val="center"/>
                                <w:rPr>
                                  <w:rFonts w:eastAsia="Times New Roman"/>
                                  <w:sz w:val="20"/>
                                  <w:szCs w:val="20"/>
                                </w:rPr>
                              </w:pPr>
                            </w:p>
                          </w:tc>
                        </w:tr>
                      </w:tbl>
                      <w:p w:rsidR="00F81B5E" w:rsidRDefault="00F81B5E">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180"/>
                        </w:tblGrid>
                        <w:tr w:rsidR="00F81B5E">
                          <w:trPr>
                            <w:tblCellSpacing w:w="0" w:type="dxa"/>
                            <w:jc w:val="center"/>
                          </w:trPr>
                          <w:tc>
                            <w:tcPr>
                              <w:tcW w:w="0" w:type="auto"/>
                              <w:tcMar>
                                <w:top w:w="120" w:type="dxa"/>
                                <w:left w:w="300" w:type="dxa"/>
                                <w:bottom w:w="135" w:type="dxa"/>
                                <w:right w:w="300" w:type="dxa"/>
                              </w:tcMar>
                              <w:hideMark/>
                            </w:tcPr>
                            <w:p w:rsidR="00F81B5E" w:rsidRDefault="00F81B5E">
                              <w:pPr>
                                <w:rPr>
                                  <w:rFonts w:eastAsia="Times New Roman"/>
                                  <w:color w:val="333333"/>
                                </w:rPr>
                              </w:pPr>
                              <w:r>
                                <w:rPr>
                                  <w:rFonts w:eastAsia="Times New Roman"/>
                                  <w:color w:val="333333"/>
                                </w:rPr>
                                <w:t xml:space="preserve">Benchmark Title Agency, a full-service title company that recently celebrated its tenth anniversary, has been designated as a Women-Owned Business Enterprise (WBE) by Empire State Development, New York State's chief economic development agency. </w:t>
                              </w:r>
                            </w:p>
                            <w:p w:rsidR="00F81B5E" w:rsidRDefault="00F81B5E">
                              <w:pPr>
                                <w:rPr>
                                  <w:rFonts w:eastAsia="Times New Roman"/>
                                  <w:color w:val="333333"/>
                                </w:rPr>
                              </w:pPr>
                              <w:r>
                                <w:rPr>
                                  <w:rFonts w:eastAsia="Times New Roman"/>
                                  <w:color w:val="333333"/>
                                </w:rPr>
                                <w:t> </w:t>
                              </w:r>
                            </w:p>
                            <w:p w:rsidR="00F81B5E" w:rsidRDefault="00F81B5E">
                              <w:pPr>
                                <w:rPr>
                                  <w:rFonts w:eastAsia="Times New Roman"/>
                                  <w:color w:val="333333"/>
                                </w:rPr>
                              </w:pPr>
                              <w:r>
                                <w:rPr>
                                  <w:rFonts w:eastAsia="Times New Roman"/>
                                  <w:color w:val="333333"/>
                                </w:rPr>
                                <w:t>Jean Partridge, Benchmark's co-founder and managing member, said, "This designation affirms my belief in the importance of expanding opportunities to those groups who traditionally have encountered obstacles in the business world. It will also help our firm to grow while providing great service to new and existing clients."</w:t>
                              </w:r>
                            </w:p>
                            <w:p w:rsidR="00F81B5E" w:rsidRDefault="00F81B5E">
                              <w:pPr>
                                <w:rPr>
                                  <w:rFonts w:eastAsia="Times New Roman"/>
                                  <w:color w:val="333333"/>
                                </w:rPr>
                              </w:pPr>
                              <w:r>
                                <w:rPr>
                                  <w:rFonts w:eastAsia="Times New Roman"/>
                                  <w:color w:val="333333"/>
                                </w:rPr>
                                <w:t> </w:t>
                              </w:r>
                            </w:p>
                            <w:p w:rsidR="00F81B5E" w:rsidRDefault="00F81B5E">
                              <w:pPr>
                                <w:rPr>
                                  <w:rFonts w:eastAsia="Times New Roman"/>
                                  <w:color w:val="333333"/>
                                </w:rPr>
                              </w:pPr>
                              <w:r>
                                <w:rPr>
                                  <w:rFonts w:eastAsia="Times New Roman"/>
                                  <w:color w:val="333333"/>
                                </w:rPr>
                                <w:t xml:space="preserve">In the past 18 months, Benchmark has closed over $1 billion in transactions ranging from single family homes to very large commercial projects. This includes over 2,000 affordable housing units preserved or developed in New York City under Mayor Bill </w:t>
                              </w:r>
                              <w:proofErr w:type="spellStart"/>
                              <w:r>
                                <w:rPr>
                                  <w:rFonts w:eastAsia="Times New Roman"/>
                                  <w:color w:val="333333"/>
                                </w:rPr>
                                <w:t>DiBlasio's</w:t>
                              </w:r>
                              <w:proofErr w:type="spellEnd"/>
                              <w:r>
                                <w:rPr>
                                  <w:rFonts w:eastAsia="Times New Roman"/>
                                  <w:color w:val="333333"/>
                                </w:rPr>
                                <w:t xml:space="preserve"> housing plan. </w:t>
                              </w:r>
                            </w:p>
                            <w:p w:rsidR="00F81B5E" w:rsidRDefault="00F81B5E">
                              <w:pPr>
                                <w:rPr>
                                  <w:rFonts w:eastAsia="Times New Roman"/>
                                  <w:color w:val="333333"/>
                                </w:rPr>
                              </w:pPr>
                              <w:r>
                                <w:rPr>
                                  <w:rFonts w:eastAsia="Times New Roman"/>
                                  <w:color w:val="333333"/>
                                </w:rPr>
                                <w:t> </w:t>
                              </w:r>
                            </w:p>
                            <w:p w:rsidR="00F81B5E" w:rsidRDefault="00F81B5E">
                              <w:pPr>
                                <w:rPr>
                                  <w:rFonts w:eastAsia="Times New Roman"/>
                                  <w:color w:val="333333"/>
                                </w:rPr>
                              </w:pPr>
                              <w:r>
                                <w:rPr>
                                  <w:rFonts w:eastAsia="Times New Roman"/>
                                  <w:color w:val="333333"/>
                                </w:rPr>
                                <w:t xml:space="preserve">Along with Benchmark's commitment to exceptional customer service, its core philosophy is one of making a positive difference in the communities in which it works. This designation is an important representation of that philosophy, and we will strive to maintain this distinction. </w:t>
                              </w:r>
                            </w:p>
                            <w:p w:rsidR="00F81B5E" w:rsidRDefault="00F81B5E">
                              <w:pPr>
                                <w:rPr>
                                  <w:rFonts w:eastAsia="Times New Roman"/>
                                  <w:color w:val="333333"/>
                                </w:rPr>
                              </w:pPr>
                              <w:r>
                                <w:rPr>
                                  <w:rFonts w:eastAsia="Times New Roman"/>
                                  <w:color w:val="333333"/>
                                </w:rPr>
                                <w:t> </w:t>
                              </w:r>
                            </w:p>
                            <w:p w:rsidR="00F81B5E" w:rsidRDefault="00F81B5E">
                              <w:pPr>
                                <w:rPr>
                                  <w:rFonts w:eastAsia="Times New Roman"/>
                                  <w:color w:val="333333"/>
                                </w:rPr>
                              </w:pPr>
                              <w:r>
                                <w:rPr>
                                  <w:rFonts w:eastAsia="Times New Roman"/>
                                  <w:color w:val="333333"/>
                                </w:rPr>
                                <w:t xml:space="preserve">For more information contact Bernie Carr, senior vice president for affordable housing, at 914-250-2431 or </w:t>
                              </w:r>
                              <w:hyperlink r:id="rId8" w:tgtFrame="_blank" w:history="1">
                                <w:r>
                                  <w:rPr>
                                    <w:rStyle w:val="Hyperlink"/>
                                    <w:rFonts w:eastAsia="Times New Roman"/>
                                    <w:color w:val="0563C1"/>
                                  </w:rPr>
                                  <w:t>bcarr@benchmarkta.com</w:t>
                                </w:r>
                              </w:hyperlink>
                              <w:r>
                                <w:rPr>
                                  <w:rFonts w:eastAsia="Times New Roman"/>
                                  <w:color w:val="333333"/>
                                </w:rPr>
                                <w:t xml:space="preserve">, or visit our website, </w:t>
                              </w:r>
                              <w:hyperlink r:id="rId9" w:tgtFrame="_blank" w:history="1">
                                <w:r>
                                  <w:rPr>
                                    <w:rStyle w:val="Hyperlink"/>
                                    <w:rFonts w:eastAsia="Times New Roman"/>
                                  </w:rPr>
                                  <w:t>www.benchmarkta.com</w:t>
                                </w:r>
                              </w:hyperlink>
                              <w:r>
                                <w:rPr>
                                  <w:rFonts w:eastAsia="Times New Roman"/>
                                  <w:color w:val="333333"/>
                                </w:rPr>
                                <w:t>.</w:t>
                              </w:r>
                            </w:p>
                            <w:p w:rsidR="00F81B5E" w:rsidRDefault="00F81B5E">
                              <w:pPr>
                                <w:rPr>
                                  <w:rFonts w:eastAsia="Times New Roman"/>
                                  <w:color w:val="333333"/>
                                </w:rPr>
                              </w:pPr>
                              <w:r>
                                <w:rPr>
                                  <w:rFonts w:eastAsia="Times New Roman"/>
                                  <w:color w:val="333333"/>
                                </w:rPr>
                                <w:t> </w:t>
                              </w:r>
                            </w:p>
                          </w:tc>
                        </w:tr>
                      </w:tbl>
                      <w:p w:rsidR="00F81B5E" w:rsidRDefault="00F81B5E">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180"/>
                        </w:tblGrid>
                        <w:tr w:rsidR="00F81B5E">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580"/>
                              </w:tblGrid>
                              <w:tr w:rsidR="00F81B5E">
                                <w:trPr>
                                  <w:trHeight w:val="15"/>
                                  <w:tblCellSpacing w:w="0" w:type="dxa"/>
                                  <w:jc w:val="center"/>
                                </w:trPr>
                                <w:tc>
                                  <w:tcPr>
                                    <w:tcW w:w="0" w:type="auto"/>
                                    <w:shd w:val="clear" w:color="auto" w:fill="000000"/>
                                    <w:vAlign w:val="center"/>
                                    <w:hideMark/>
                                  </w:tcPr>
                                  <w:p w:rsidR="00F81B5E" w:rsidRDefault="00F81B5E">
                                    <w:pPr>
                                      <w:spacing w:line="15" w:lineRule="atLeast"/>
                                      <w:jc w:val="center"/>
                                      <w:rPr>
                                        <w:rFonts w:eastAsia="Times New Roman"/>
                                      </w:rPr>
                                    </w:pPr>
                                    <w:r>
                                      <w:rPr>
                                        <w:rFonts w:eastAsia="Times New Roman"/>
                                        <w:noProof/>
                                      </w:rPr>
                                      <w:drawing>
                                        <wp:inline distT="0" distB="0" distL="0" distR="0">
                                          <wp:extent cx="45720" cy="7620"/>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sys/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F81B5E" w:rsidRDefault="00F81B5E">
                              <w:pPr>
                                <w:jc w:val="center"/>
                                <w:rPr>
                                  <w:rFonts w:eastAsia="Times New Roman"/>
                                  <w:sz w:val="20"/>
                                  <w:szCs w:val="20"/>
                                </w:rPr>
                              </w:pPr>
                            </w:p>
                          </w:tc>
                        </w:tr>
                      </w:tbl>
                      <w:p w:rsidR="00F81B5E" w:rsidRDefault="00F81B5E">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180"/>
                        </w:tblGrid>
                        <w:tr w:rsidR="00F81B5E">
                          <w:trPr>
                            <w:tblCellSpacing w:w="0" w:type="dxa"/>
                            <w:jc w:val="center"/>
                          </w:trPr>
                          <w:tc>
                            <w:tcPr>
                              <w:tcW w:w="0" w:type="auto"/>
                              <w:tcMar>
                                <w:top w:w="120" w:type="dxa"/>
                                <w:left w:w="300" w:type="dxa"/>
                                <w:bottom w:w="135" w:type="dxa"/>
                                <w:right w:w="300" w:type="dxa"/>
                              </w:tcMar>
                              <w:hideMark/>
                            </w:tcPr>
                            <w:p w:rsidR="00F81B5E" w:rsidRDefault="00F81B5E">
                              <w:pPr>
                                <w:jc w:val="center"/>
                                <w:rPr>
                                  <w:rFonts w:eastAsia="Times New Roman"/>
                                  <w:color w:val="333333"/>
                                </w:rPr>
                              </w:pPr>
                              <w:r>
                                <w:rPr>
                                  <w:rFonts w:eastAsia="Times New Roman"/>
                                  <w:color w:val="333333"/>
                                </w:rPr>
                                <w:t>222 Bloomingdale Road, Suite 102</w:t>
                              </w:r>
                            </w:p>
                            <w:p w:rsidR="00F81B5E" w:rsidRDefault="00F81B5E">
                              <w:pPr>
                                <w:jc w:val="center"/>
                                <w:rPr>
                                  <w:rFonts w:eastAsia="Times New Roman"/>
                                  <w:color w:val="333333"/>
                                </w:rPr>
                              </w:pPr>
                              <w:r>
                                <w:rPr>
                                  <w:rFonts w:eastAsia="Times New Roman"/>
                                  <w:color w:val="333333"/>
                                </w:rPr>
                                <w:t>White Plains, New York 10605</w:t>
                              </w:r>
                            </w:p>
                            <w:p w:rsidR="00F81B5E" w:rsidRDefault="00F81B5E">
                              <w:pPr>
                                <w:spacing w:after="240"/>
                                <w:jc w:val="center"/>
                                <w:rPr>
                                  <w:rFonts w:eastAsia="Times New Roman"/>
                                  <w:color w:val="333333"/>
                                </w:rPr>
                              </w:pPr>
                              <w:r>
                                <w:rPr>
                                  <w:rFonts w:eastAsia="Times New Roman"/>
                                  <w:color w:val="333333"/>
                                </w:rPr>
                                <w:t>O: 914-250-2400  F: 914-422-1550 </w:t>
                              </w:r>
                            </w:p>
                          </w:tc>
                        </w:tr>
                      </w:tbl>
                      <w:p w:rsidR="00F81B5E" w:rsidRDefault="00F81B5E">
                        <w:pPr>
                          <w:jc w:val="center"/>
                          <w:rPr>
                            <w:rFonts w:eastAsia="Times New Roman"/>
                            <w:sz w:val="20"/>
                            <w:szCs w:val="20"/>
                          </w:rPr>
                        </w:pPr>
                      </w:p>
                    </w:tc>
                  </w:tr>
                </w:tbl>
                <w:p w:rsidR="00F81B5E" w:rsidRDefault="00F81B5E">
                  <w:pPr>
                    <w:jc w:val="center"/>
                    <w:rPr>
                      <w:rFonts w:eastAsia="Times New Roman"/>
                      <w:sz w:val="20"/>
                      <w:szCs w:val="20"/>
                    </w:rPr>
                  </w:pPr>
                </w:p>
              </w:tc>
            </w:tr>
          </w:tbl>
          <w:p w:rsidR="00F81B5E" w:rsidRDefault="00F81B5E">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F81B5E">
              <w:trPr>
                <w:tblCellSpacing w:w="0" w:type="dxa"/>
                <w:jc w:val="center"/>
              </w:trPr>
              <w:tc>
                <w:tcPr>
                  <w:tcW w:w="5000" w:type="pct"/>
                  <w:tcMar>
                    <w:top w:w="135" w:type="dxa"/>
                    <w:left w:w="0" w:type="dxa"/>
                    <w:bottom w:w="12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F81B5E">
                    <w:trPr>
                      <w:tblCellSpacing w:w="0" w:type="dxa"/>
                      <w:jc w:val="center"/>
                    </w:trPr>
                    <w:tc>
                      <w:tcPr>
                        <w:tcW w:w="5000" w:type="pct"/>
                        <w:tcMar>
                          <w:top w:w="120"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F81B5E">
                          <w:trPr>
                            <w:tblCellSpacing w:w="0" w:type="dxa"/>
                            <w:jc w:val="center"/>
                          </w:trPr>
                          <w:tc>
                            <w:tcPr>
                              <w:tcW w:w="0" w:type="auto"/>
                              <w:tcMar>
                                <w:top w:w="0" w:type="dxa"/>
                                <w:left w:w="0" w:type="dxa"/>
                                <w:bottom w:w="150" w:type="dxa"/>
                                <w:right w:w="0" w:type="dxa"/>
                              </w:tcMar>
                              <w:vAlign w:val="center"/>
                              <w:hideMark/>
                            </w:tcPr>
                            <w:p w:rsidR="00F81B5E" w:rsidRDefault="00F81B5E">
                              <w:pPr>
                                <w:jc w:val="center"/>
                                <w:rPr>
                                  <w:rFonts w:eastAsia="Times New Roman"/>
                                  <w:color w:val="333333"/>
                                </w:rPr>
                              </w:pPr>
                              <w:r>
                                <w:rPr>
                                  <w:rFonts w:eastAsia="Times New Roman"/>
                                  <w:color w:val="333333"/>
                                </w:rPr>
                                <w:t>See what's happening on our website</w:t>
                              </w:r>
                            </w:p>
                            <w:p w:rsidR="00F81B5E" w:rsidRDefault="00F81B5E">
                              <w:pPr>
                                <w:jc w:val="center"/>
                                <w:rPr>
                                  <w:rFonts w:eastAsia="Times New Roman"/>
                                  <w:color w:val="333333"/>
                                </w:rPr>
                              </w:pPr>
                              <w:hyperlink r:id="rId11" w:tgtFrame="_blank" w:history="1">
                                <w:r>
                                  <w:rPr>
                                    <w:rStyle w:val="Hyperlink"/>
                                    <w:rFonts w:eastAsia="Times New Roman"/>
                                  </w:rPr>
                                  <w:t>www.benchmarkta.com</w:t>
                                </w:r>
                              </w:hyperlink>
                              <w:r>
                                <w:rPr>
                                  <w:rFonts w:eastAsia="Times New Roman"/>
                                  <w:color w:val="333333"/>
                                </w:rPr>
                                <w:t xml:space="preserve"> </w:t>
                              </w:r>
                            </w:p>
                          </w:tc>
                        </w:tr>
                        <w:tr w:rsidR="00F81B5E">
                          <w:trPr>
                            <w:tblCellSpacing w:w="0" w:type="dxa"/>
                            <w:jc w:val="center"/>
                          </w:trPr>
                          <w:tc>
                            <w:tcPr>
                              <w:tcW w:w="0" w:type="auto"/>
                              <w:vAlign w:val="center"/>
                              <w:hideMark/>
                            </w:tcPr>
                            <w:p w:rsidR="00F81B5E" w:rsidRDefault="00F81B5E">
                              <w:pPr>
                                <w:rPr>
                                  <w:rFonts w:eastAsia="Times New Roman"/>
                                  <w:color w:val="333333"/>
                                </w:rPr>
                              </w:pPr>
                            </w:p>
                          </w:tc>
                        </w:tr>
                      </w:tbl>
                      <w:p w:rsidR="00F81B5E" w:rsidRDefault="00F81B5E">
                        <w:pPr>
                          <w:jc w:val="center"/>
                          <w:rPr>
                            <w:rFonts w:eastAsia="Times New Roman"/>
                            <w:sz w:val="20"/>
                            <w:szCs w:val="20"/>
                          </w:rPr>
                        </w:pPr>
                      </w:p>
                    </w:tc>
                  </w:tr>
                </w:tbl>
                <w:p w:rsidR="00F81B5E" w:rsidRDefault="00F81B5E">
                  <w:pPr>
                    <w:jc w:val="center"/>
                    <w:rPr>
                      <w:rFonts w:eastAsia="Times New Roman"/>
                      <w:sz w:val="20"/>
                      <w:szCs w:val="20"/>
                    </w:rPr>
                  </w:pPr>
                </w:p>
              </w:tc>
            </w:tr>
          </w:tbl>
          <w:p w:rsidR="00F81B5E" w:rsidRDefault="00F81B5E">
            <w:pPr>
              <w:jc w:val="center"/>
              <w:rPr>
                <w:rFonts w:eastAsia="Times New Roman"/>
                <w:sz w:val="20"/>
                <w:szCs w:val="20"/>
              </w:rPr>
            </w:pPr>
          </w:p>
        </w:tc>
      </w:tr>
    </w:tbl>
    <w:p w:rsidR="000413CF" w:rsidRDefault="000413CF">
      <w:bookmarkStart w:id="0" w:name="_GoBack"/>
      <w:bookmarkEnd w:id="0"/>
    </w:p>
    <w:sectPr w:rsidR="000413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020" w:rsidRDefault="00DD6020" w:rsidP="00A826D8">
      <w:r>
        <w:separator/>
      </w:r>
    </w:p>
  </w:endnote>
  <w:endnote w:type="continuationSeparator" w:id="0">
    <w:p w:rsidR="00DD6020" w:rsidRDefault="00DD6020" w:rsidP="00A8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D8" w:rsidRDefault="00A82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D8" w:rsidRDefault="00A826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D8" w:rsidRDefault="00A82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020" w:rsidRDefault="00DD6020" w:rsidP="00A826D8">
      <w:r>
        <w:separator/>
      </w:r>
    </w:p>
  </w:footnote>
  <w:footnote w:type="continuationSeparator" w:id="0">
    <w:p w:rsidR="00DD6020" w:rsidRDefault="00DD6020" w:rsidP="00A8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D8" w:rsidRDefault="00A82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D8" w:rsidRDefault="00A82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D8" w:rsidRDefault="00A82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5E"/>
    <w:rsid w:val="000413CF"/>
    <w:rsid w:val="002133E1"/>
    <w:rsid w:val="003A661F"/>
    <w:rsid w:val="005E3C76"/>
    <w:rsid w:val="008D5378"/>
    <w:rsid w:val="00A826D8"/>
    <w:rsid w:val="00BA1EC0"/>
    <w:rsid w:val="00D13EF5"/>
    <w:rsid w:val="00D274DD"/>
    <w:rsid w:val="00D53CCA"/>
    <w:rsid w:val="00DD6020"/>
    <w:rsid w:val="00F8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9278F-9E40-473B-9914-7789E068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6D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826D8"/>
  </w:style>
  <w:style w:type="paragraph" w:styleId="Footer">
    <w:name w:val="footer"/>
    <w:basedOn w:val="Normal"/>
    <w:link w:val="FooterChar"/>
    <w:uiPriority w:val="99"/>
    <w:unhideWhenUsed/>
    <w:rsid w:val="00A826D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826D8"/>
  </w:style>
  <w:style w:type="character" w:styleId="Hyperlink">
    <w:name w:val="Hyperlink"/>
    <w:basedOn w:val="DefaultParagraphFont"/>
    <w:uiPriority w:val="99"/>
    <w:semiHidden/>
    <w:unhideWhenUsed/>
    <w:rsid w:val="00F81B5E"/>
    <w:rPr>
      <w:color w:val="0000FF"/>
      <w:u w:val="single"/>
    </w:rPr>
  </w:style>
  <w:style w:type="character" w:styleId="Strong">
    <w:name w:val="Strong"/>
    <w:basedOn w:val="DefaultParagraphFont"/>
    <w:uiPriority w:val="22"/>
    <w:qFormat/>
    <w:rsid w:val="00F81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r@benchmarkt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20.rs6.net/tn.jsp?t=jfbnrayab.0.0.mr4do4hab.0&amp;id=preview&amp;r=3&amp;p=http%3A%2F%2Fwww.benchmarkta.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20.rs6.net/tn.jsp?t=jfbnrayab.0.0.mr4do4hab.0&amp;id=preview&amp;r=3&amp;p=http%3A%2F%2Fwww.benchmarkta.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r20.rs6.net/tn.jsp?t=jfbnrayab.0.0.mr4do4hab.0&amp;id=preview&amp;r=3&amp;p=http%3A%2F%2Fwww.benchmarkt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Stancato</dc:creator>
  <cp:keywords/>
  <dc:description/>
  <cp:lastModifiedBy>Domenica Stancato</cp:lastModifiedBy>
  <cp:revision>1</cp:revision>
  <dcterms:created xsi:type="dcterms:W3CDTF">2016-08-19T13:04:00Z</dcterms:created>
  <dcterms:modified xsi:type="dcterms:W3CDTF">2016-08-19T13:05:00Z</dcterms:modified>
</cp:coreProperties>
</file>